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D0C" w:rsidRDefault="004A1D0C" w:rsidP="004A1D0C">
      <w:pPr>
        <w:pStyle w:val="ListParagraph"/>
        <w:spacing w:after="0" w:line="480" w:lineRule="auto"/>
        <w:ind w:left="0"/>
        <w:jc w:val="center"/>
        <w:rPr>
          <w:rFonts w:ascii="Times New Roman" w:hAnsi="Times New Roman" w:cs="Times New Roman"/>
          <w:b/>
          <w:sz w:val="24"/>
          <w:szCs w:val="24"/>
        </w:rPr>
      </w:pPr>
      <w:r>
        <w:rPr>
          <w:rFonts w:ascii="Times New Roman" w:hAnsi="Times New Roman" w:cs="Times New Roman"/>
          <w:b/>
          <w:sz w:val="24"/>
          <w:szCs w:val="24"/>
        </w:rPr>
        <w:t>BAB V</w:t>
      </w:r>
    </w:p>
    <w:p w:rsidR="004A1D0C" w:rsidRDefault="004A1D0C" w:rsidP="004A1D0C">
      <w:pPr>
        <w:pStyle w:val="ListParagraph"/>
        <w:spacing w:after="0" w:line="480" w:lineRule="auto"/>
        <w:ind w:left="0"/>
        <w:jc w:val="center"/>
        <w:rPr>
          <w:rFonts w:ascii="Times New Roman" w:hAnsi="Times New Roman" w:cs="Times New Roman"/>
          <w:b/>
          <w:sz w:val="24"/>
          <w:szCs w:val="24"/>
        </w:rPr>
      </w:pPr>
      <w:r>
        <w:rPr>
          <w:rFonts w:ascii="Times New Roman" w:hAnsi="Times New Roman" w:cs="Times New Roman"/>
          <w:b/>
          <w:sz w:val="24"/>
          <w:szCs w:val="24"/>
        </w:rPr>
        <w:t>KESIMPULAN DAN SARAN</w:t>
      </w:r>
    </w:p>
    <w:p w:rsidR="004A1D0C" w:rsidRDefault="004A1D0C" w:rsidP="004A1D0C">
      <w:pPr>
        <w:pStyle w:val="ListParagraph"/>
        <w:spacing w:after="0" w:line="480" w:lineRule="auto"/>
        <w:ind w:left="0" w:firstLine="720"/>
        <w:jc w:val="center"/>
        <w:rPr>
          <w:rFonts w:ascii="Times New Roman" w:hAnsi="Times New Roman" w:cs="Times New Roman"/>
          <w:b/>
          <w:sz w:val="24"/>
          <w:szCs w:val="24"/>
        </w:rPr>
      </w:pPr>
    </w:p>
    <w:p w:rsidR="004A1D0C" w:rsidRDefault="004A1D0C" w:rsidP="004A1D0C">
      <w:pPr>
        <w:pStyle w:val="ListParagraph"/>
        <w:numPr>
          <w:ilvl w:val="1"/>
          <w:numId w:val="3"/>
        </w:numPr>
        <w:spacing w:after="0" w:line="480" w:lineRule="auto"/>
        <w:ind w:left="720" w:hanging="720"/>
        <w:rPr>
          <w:rFonts w:ascii="Times New Roman" w:hAnsi="Times New Roman" w:cs="Times New Roman"/>
          <w:b/>
          <w:sz w:val="24"/>
          <w:szCs w:val="24"/>
        </w:rPr>
      </w:pPr>
      <w:r>
        <w:rPr>
          <w:rFonts w:ascii="Times New Roman" w:hAnsi="Times New Roman" w:cs="Times New Roman"/>
          <w:b/>
          <w:sz w:val="24"/>
          <w:szCs w:val="24"/>
        </w:rPr>
        <w:t>Kesimpulan</w:t>
      </w:r>
    </w:p>
    <w:p w:rsidR="004A1D0C" w:rsidRDefault="004A1D0C" w:rsidP="004A1D0C">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Berdasarkan hasil penelitian dan pembahasan pada bab sebelumnya, maka dapat ditarik kesimpulan bahwa pengaruh pendapatan bunga kredit dan pendapatan non bunga (</w:t>
      </w:r>
      <w:r>
        <w:rPr>
          <w:rFonts w:ascii="Times New Roman" w:hAnsi="Times New Roman" w:cs="Times New Roman"/>
          <w:i/>
          <w:sz w:val="24"/>
          <w:szCs w:val="24"/>
        </w:rPr>
        <w:t>fee based income</w:t>
      </w:r>
      <w:r>
        <w:rPr>
          <w:rFonts w:ascii="Times New Roman" w:hAnsi="Times New Roman" w:cs="Times New Roman"/>
          <w:sz w:val="24"/>
          <w:szCs w:val="24"/>
        </w:rPr>
        <w:t xml:space="preserve">) terhadap </w:t>
      </w:r>
      <w:r>
        <w:rPr>
          <w:rFonts w:ascii="Times New Roman" w:hAnsi="Times New Roman" w:cs="Times New Roman"/>
          <w:i/>
          <w:sz w:val="24"/>
          <w:szCs w:val="24"/>
        </w:rPr>
        <w:t xml:space="preserve">Return on Assets </w:t>
      </w:r>
      <w:r>
        <w:rPr>
          <w:rFonts w:ascii="Times New Roman" w:hAnsi="Times New Roman" w:cs="Times New Roman"/>
          <w:sz w:val="24"/>
          <w:szCs w:val="24"/>
        </w:rPr>
        <w:t xml:space="preserve">(ROA), yaitu sebagai berikut : </w:t>
      </w:r>
    </w:p>
    <w:p w:rsidR="004A1D0C" w:rsidRPr="00FC0A61" w:rsidRDefault="004A1D0C" w:rsidP="004A1D0C">
      <w:pPr>
        <w:pStyle w:val="ListParagraph"/>
        <w:numPr>
          <w:ilvl w:val="1"/>
          <w:numId w:val="4"/>
        </w:numPr>
        <w:spacing w:after="0" w:line="480" w:lineRule="auto"/>
        <w:ind w:left="360"/>
        <w:jc w:val="both"/>
        <w:rPr>
          <w:rFonts w:ascii="Times New Roman" w:hAnsi="Times New Roman" w:cs="Times New Roman"/>
          <w:sz w:val="24"/>
          <w:szCs w:val="24"/>
        </w:rPr>
      </w:pPr>
      <w:r w:rsidRPr="002F4C63">
        <w:rPr>
          <w:rFonts w:ascii="Times New Roman" w:hAnsi="Times New Roman" w:cs="Times New Roman"/>
          <w:sz w:val="24"/>
          <w:szCs w:val="24"/>
        </w:rPr>
        <w:t>Perkembangan pendapatan bunga kredit pada PT. Bank bjb, Tbk. periode 2009-2013 pada setiap tahun berfluktuatif namun pertriwulan setiap tahunnya cenderung naik. Nilai pendapatan bunga kredit tertinggi berada pada triwulan ke IV tahun 2013 hal tersebut diduga karena Bank bjb meningkatan penyaluran kredit dan berkat kemampuan menjaga kualitas kredit sehingga rasio kredit bermasalah (NPL) rendah</w:t>
      </w:r>
      <w:r w:rsidRPr="002F4C63">
        <w:rPr>
          <w:rFonts w:ascii="Times New Roman" w:hAnsi="Times New Roman" w:cs="Times New Roman"/>
          <w:color w:val="000000"/>
          <w:sz w:val="24"/>
          <w:szCs w:val="24"/>
        </w:rPr>
        <w:t xml:space="preserve"> sedangkan </w:t>
      </w:r>
      <w:r w:rsidRPr="002F4C63">
        <w:rPr>
          <w:rFonts w:ascii="Times New Roman" w:hAnsi="Times New Roman" w:cs="Times New Roman"/>
          <w:sz w:val="24"/>
          <w:szCs w:val="24"/>
        </w:rPr>
        <w:t>terendah berada pada triwulan ke I tahun 2009 hal tersebut karena kredit bermasalah (NPL) tinggi akibat dari krisis keuangan global pada tahun 2008. Rata-rata pendapatan bunga kredit PT. Bank bjb, Tbk. berada pada kondisi yang baik</w:t>
      </w:r>
      <w:r>
        <w:rPr>
          <w:rFonts w:ascii="Times New Roman" w:hAnsi="Times New Roman" w:cs="Times New Roman"/>
          <w:color w:val="000000"/>
          <w:sz w:val="24"/>
          <w:szCs w:val="24"/>
        </w:rPr>
        <w:t>.</w:t>
      </w:r>
    </w:p>
    <w:p w:rsidR="004A1D0C" w:rsidRPr="00FC0A61" w:rsidRDefault="004A1D0C" w:rsidP="004A1D0C">
      <w:pPr>
        <w:pStyle w:val="ListParagraph"/>
        <w:numPr>
          <w:ilvl w:val="1"/>
          <w:numId w:val="4"/>
        </w:numPr>
        <w:spacing w:after="0" w:line="480" w:lineRule="auto"/>
        <w:ind w:left="360"/>
        <w:jc w:val="both"/>
        <w:rPr>
          <w:rFonts w:ascii="Times New Roman" w:hAnsi="Times New Roman" w:cs="Times New Roman"/>
          <w:sz w:val="24"/>
          <w:szCs w:val="24"/>
        </w:rPr>
      </w:pPr>
      <w:r w:rsidRPr="00FC0A61">
        <w:rPr>
          <w:rFonts w:ascii="Times New Roman" w:hAnsi="Times New Roman" w:cs="Times New Roman"/>
          <w:sz w:val="24"/>
          <w:szCs w:val="24"/>
        </w:rPr>
        <w:t>Perkembangan pendapatan non bunga (</w:t>
      </w:r>
      <w:r w:rsidRPr="00FC0A61">
        <w:rPr>
          <w:rFonts w:ascii="Times New Roman" w:hAnsi="Times New Roman" w:cs="Times New Roman"/>
          <w:i/>
          <w:sz w:val="24"/>
          <w:szCs w:val="24"/>
        </w:rPr>
        <w:t>fee based income</w:t>
      </w:r>
      <w:r w:rsidRPr="00FC0A61">
        <w:rPr>
          <w:rFonts w:ascii="Times New Roman" w:hAnsi="Times New Roman" w:cs="Times New Roman"/>
          <w:sz w:val="24"/>
          <w:szCs w:val="24"/>
        </w:rPr>
        <w:t>) pada PT. Bank bjb, Tbk. periode 2009-2013 pada setiap tahun berfluktuatif namun pertriwulan setiap tahunnya cenderung naik. Nilai pendapatan non bunga (</w:t>
      </w:r>
      <w:r w:rsidRPr="00FC0A61">
        <w:rPr>
          <w:rFonts w:ascii="Times New Roman" w:hAnsi="Times New Roman" w:cs="Times New Roman"/>
          <w:i/>
          <w:sz w:val="24"/>
          <w:szCs w:val="24"/>
        </w:rPr>
        <w:t>fee based income</w:t>
      </w:r>
      <w:r w:rsidRPr="00FC0A61">
        <w:rPr>
          <w:rFonts w:ascii="Times New Roman" w:hAnsi="Times New Roman" w:cs="Times New Roman"/>
          <w:sz w:val="24"/>
          <w:szCs w:val="24"/>
        </w:rPr>
        <w:t xml:space="preserve">) tertinggi berada pada triwulan ke IV tahun 2013 hal tersebut diduga karena Bank bjb melakukan strategi dengan meningkatkan layanan jasa-jasa bank </w:t>
      </w:r>
      <w:r w:rsidRPr="00FC0A61">
        <w:rPr>
          <w:rFonts w:ascii="Times New Roman" w:hAnsi="Times New Roman" w:cs="Times New Roman"/>
          <w:color w:val="000000"/>
          <w:sz w:val="24"/>
          <w:szCs w:val="24"/>
        </w:rPr>
        <w:t xml:space="preserve">sedangkan </w:t>
      </w:r>
      <w:r w:rsidRPr="00FC0A61">
        <w:rPr>
          <w:rFonts w:ascii="Times New Roman" w:hAnsi="Times New Roman" w:cs="Times New Roman"/>
          <w:sz w:val="24"/>
          <w:szCs w:val="24"/>
        </w:rPr>
        <w:t xml:space="preserve">terendah berada pada triwulan ke I tahun 2009 hal tersebut karena Bank bjb </w:t>
      </w:r>
      <w:r w:rsidRPr="00FC0A61">
        <w:rPr>
          <w:rFonts w:ascii="Times New Roman" w:hAnsi="Times New Roman" w:cs="Times New Roman"/>
          <w:sz w:val="24"/>
          <w:szCs w:val="24"/>
        </w:rPr>
        <w:lastRenderedPageBreak/>
        <w:t>belum berfokus pada aktivitas layanan jasa-jasa bank. Rata-rata pendapatan non bunga (</w:t>
      </w:r>
      <w:r w:rsidRPr="00FC0A61">
        <w:rPr>
          <w:rFonts w:ascii="Times New Roman" w:hAnsi="Times New Roman" w:cs="Times New Roman"/>
          <w:i/>
          <w:sz w:val="24"/>
          <w:szCs w:val="24"/>
        </w:rPr>
        <w:t>fee based income</w:t>
      </w:r>
      <w:r w:rsidRPr="00FC0A61">
        <w:rPr>
          <w:rFonts w:ascii="Times New Roman" w:hAnsi="Times New Roman" w:cs="Times New Roman"/>
          <w:sz w:val="24"/>
          <w:szCs w:val="24"/>
        </w:rPr>
        <w:t>) PT. Bank bjb, Tbk. sudah berada pada kondisi yang cukup baik</w:t>
      </w:r>
      <w:r w:rsidRPr="00FC0A61">
        <w:rPr>
          <w:rFonts w:ascii="Times New Roman" w:hAnsi="Times New Roman" w:cs="Times New Roman"/>
          <w:color w:val="000000"/>
          <w:sz w:val="24"/>
          <w:szCs w:val="24"/>
        </w:rPr>
        <w:t>.</w:t>
      </w:r>
    </w:p>
    <w:p w:rsidR="004A1D0C" w:rsidRPr="00FC0A61" w:rsidRDefault="004A1D0C" w:rsidP="004A1D0C">
      <w:pPr>
        <w:pStyle w:val="ListParagraph"/>
        <w:numPr>
          <w:ilvl w:val="1"/>
          <w:numId w:val="4"/>
        </w:numPr>
        <w:spacing w:after="0" w:line="480" w:lineRule="auto"/>
        <w:ind w:left="360"/>
        <w:jc w:val="both"/>
        <w:rPr>
          <w:rFonts w:ascii="Times New Roman" w:hAnsi="Times New Roman" w:cs="Times New Roman"/>
          <w:sz w:val="24"/>
          <w:szCs w:val="24"/>
        </w:rPr>
      </w:pPr>
      <w:r w:rsidRPr="00FC0A61">
        <w:rPr>
          <w:rFonts w:ascii="Times New Roman" w:hAnsi="Times New Roman" w:cs="Times New Roman"/>
          <w:sz w:val="24"/>
          <w:szCs w:val="24"/>
        </w:rPr>
        <w:t xml:space="preserve">Perkembangan </w:t>
      </w:r>
      <w:r w:rsidRPr="00FC0A61">
        <w:rPr>
          <w:rFonts w:ascii="Times New Roman" w:hAnsi="Times New Roman" w:cs="Times New Roman"/>
          <w:i/>
          <w:sz w:val="24"/>
          <w:szCs w:val="24"/>
        </w:rPr>
        <w:t xml:space="preserve">Return on Assets </w:t>
      </w:r>
      <w:r w:rsidRPr="00FC0A61">
        <w:rPr>
          <w:rFonts w:ascii="Times New Roman" w:hAnsi="Times New Roman" w:cs="Times New Roman"/>
          <w:sz w:val="24"/>
          <w:szCs w:val="24"/>
        </w:rPr>
        <w:t>(ROA)</w:t>
      </w:r>
      <w:r w:rsidRPr="00FC0A61">
        <w:rPr>
          <w:rFonts w:ascii="Times New Roman" w:hAnsi="Times New Roman" w:cs="Times New Roman"/>
          <w:b/>
          <w:sz w:val="24"/>
          <w:szCs w:val="24"/>
        </w:rPr>
        <w:t xml:space="preserve"> </w:t>
      </w:r>
      <w:r w:rsidRPr="00FC0A61">
        <w:rPr>
          <w:rFonts w:ascii="Times New Roman" w:hAnsi="Times New Roman" w:cs="Times New Roman"/>
          <w:sz w:val="24"/>
          <w:szCs w:val="24"/>
        </w:rPr>
        <w:t xml:space="preserve">pada PT. Bank bjb, Tbk. periode 2009-2013 pada setiap triwulannya berfluktuatif namun cenderung turun. Nilai </w:t>
      </w:r>
      <w:r w:rsidRPr="00FC0A61">
        <w:rPr>
          <w:rFonts w:ascii="Times New Roman" w:hAnsi="Times New Roman" w:cs="Times New Roman"/>
          <w:i/>
          <w:sz w:val="24"/>
          <w:szCs w:val="24"/>
        </w:rPr>
        <w:t xml:space="preserve">Return on Assets </w:t>
      </w:r>
      <w:r w:rsidRPr="00FC0A61">
        <w:rPr>
          <w:rFonts w:ascii="Times New Roman" w:hAnsi="Times New Roman" w:cs="Times New Roman"/>
          <w:sz w:val="24"/>
          <w:szCs w:val="24"/>
        </w:rPr>
        <w:t xml:space="preserve">(ROA) tertinggi berada pada triwulan ke II tahun 2010 hal tersebut diduga karena laba yang diperoleh baik dari pendapatan bunga kredit maupun pendapatan non bunga meningkat yang membuat efektifitas dalam memperleh pendapatan dapat memberikan pengembalian yang cukup besar terhadap ROA sedangkan terendah berada pada triwulan ke IV tahun 2012 hal tersebut diduga karena laba yang diperoleh belum maksimal dibandingkan dengan total aset yang dimiliki. Rata-rata </w:t>
      </w:r>
      <w:r w:rsidRPr="00FC0A61">
        <w:rPr>
          <w:rFonts w:ascii="Times New Roman" w:hAnsi="Times New Roman" w:cs="Times New Roman"/>
          <w:i/>
          <w:sz w:val="24"/>
          <w:szCs w:val="24"/>
        </w:rPr>
        <w:t xml:space="preserve">Return on Assets </w:t>
      </w:r>
      <w:r w:rsidRPr="00FC0A61">
        <w:rPr>
          <w:rFonts w:ascii="Times New Roman" w:hAnsi="Times New Roman" w:cs="Times New Roman"/>
          <w:sz w:val="24"/>
          <w:szCs w:val="24"/>
        </w:rPr>
        <w:t>(ROA) PT. Bank bjb, Tbk. pertriwulan periode 2009-2013 sebesar 3,13% berarti berada pada kondisi yang baik atau sehat.</w:t>
      </w:r>
    </w:p>
    <w:p w:rsidR="004A1D0C" w:rsidRPr="00FC0A61" w:rsidRDefault="004A1D0C" w:rsidP="004A1D0C">
      <w:pPr>
        <w:pStyle w:val="ListParagraph"/>
        <w:numPr>
          <w:ilvl w:val="1"/>
          <w:numId w:val="4"/>
        </w:numPr>
        <w:spacing w:after="0" w:line="480" w:lineRule="auto"/>
        <w:ind w:left="360"/>
        <w:jc w:val="both"/>
        <w:rPr>
          <w:rFonts w:ascii="Times New Roman" w:hAnsi="Times New Roman" w:cs="Times New Roman"/>
          <w:sz w:val="24"/>
          <w:szCs w:val="24"/>
        </w:rPr>
      </w:pPr>
      <w:r w:rsidRPr="00FC0A61">
        <w:rPr>
          <w:rFonts w:ascii="Times New Roman" w:hAnsi="Times New Roman" w:cs="Times New Roman"/>
          <w:sz w:val="24"/>
          <w:szCs w:val="24"/>
        </w:rPr>
        <w:t>Berdasarkan uji t (parsial) pendapatan bunga kredit (X</w:t>
      </w:r>
      <w:r w:rsidRPr="00FC0A61">
        <w:rPr>
          <w:rFonts w:ascii="Times New Roman" w:hAnsi="Times New Roman" w:cs="Times New Roman"/>
          <w:sz w:val="16"/>
          <w:szCs w:val="24"/>
        </w:rPr>
        <w:t>1</w:t>
      </w:r>
      <w:r w:rsidRPr="00FC0A61">
        <w:rPr>
          <w:rFonts w:ascii="Times New Roman" w:hAnsi="Times New Roman" w:cs="Times New Roman"/>
          <w:sz w:val="24"/>
          <w:szCs w:val="24"/>
        </w:rPr>
        <w:t xml:space="preserve">) berpengaruh positif signifikan terhadap </w:t>
      </w:r>
      <w:r w:rsidRPr="00FC0A61">
        <w:rPr>
          <w:rFonts w:ascii="Times New Roman" w:hAnsi="Times New Roman" w:cs="Times New Roman"/>
          <w:i/>
          <w:sz w:val="24"/>
          <w:szCs w:val="24"/>
        </w:rPr>
        <w:t xml:space="preserve">Return on Assets </w:t>
      </w:r>
      <w:r w:rsidRPr="00FC0A61">
        <w:rPr>
          <w:rFonts w:ascii="Times New Roman" w:hAnsi="Times New Roman" w:cs="Times New Roman"/>
          <w:sz w:val="24"/>
          <w:szCs w:val="24"/>
        </w:rPr>
        <w:t>(ROA) (Y) dan pendapatan non bunga (</w:t>
      </w:r>
      <w:r w:rsidRPr="00FC0A61">
        <w:rPr>
          <w:rFonts w:ascii="Times New Roman" w:hAnsi="Times New Roman" w:cs="Times New Roman"/>
          <w:i/>
          <w:sz w:val="24"/>
          <w:szCs w:val="24"/>
        </w:rPr>
        <w:t>fee based income</w:t>
      </w:r>
      <w:r w:rsidRPr="00FC0A61">
        <w:rPr>
          <w:rFonts w:ascii="Times New Roman" w:hAnsi="Times New Roman" w:cs="Times New Roman"/>
          <w:sz w:val="24"/>
          <w:szCs w:val="24"/>
        </w:rPr>
        <w:t xml:space="preserve">) pun berpengaruh positif signifikan terhadap </w:t>
      </w:r>
      <w:r w:rsidRPr="00FC0A61">
        <w:rPr>
          <w:rFonts w:ascii="Times New Roman" w:hAnsi="Times New Roman" w:cs="Times New Roman"/>
          <w:i/>
          <w:sz w:val="24"/>
          <w:szCs w:val="24"/>
        </w:rPr>
        <w:t xml:space="preserve">Return on Assets </w:t>
      </w:r>
      <w:r w:rsidRPr="00FC0A61">
        <w:rPr>
          <w:rFonts w:ascii="Times New Roman" w:hAnsi="Times New Roman" w:cs="Times New Roman"/>
          <w:sz w:val="24"/>
          <w:szCs w:val="24"/>
        </w:rPr>
        <w:t>(ROA) (Y). Secara simultan (uji F) pendapatan bunga kredit (X</w:t>
      </w:r>
      <w:r w:rsidRPr="00FC0A61">
        <w:rPr>
          <w:rFonts w:ascii="Times New Roman" w:hAnsi="Times New Roman" w:cs="Times New Roman"/>
          <w:sz w:val="16"/>
          <w:szCs w:val="24"/>
        </w:rPr>
        <w:t>1</w:t>
      </w:r>
      <w:r w:rsidRPr="00FC0A61">
        <w:rPr>
          <w:rFonts w:ascii="Times New Roman" w:hAnsi="Times New Roman" w:cs="Times New Roman"/>
          <w:sz w:val="24"/>
          <w:szCs w:val="24"/>
        </w:rPr>
        <w:t>) dan pendapatan non bunga (</w:t>
      </w:r>
      <w:r w:rsidRPr="00FC0A61">
        <w:rPr>
          <w:rFonts w:ascii="Times New Roman" w:hAnsi="Times New Roman" w:cs="Times New Roman"/>
          <w:i/>
          <w:sz w:val="24"/>
          <w:szCs w:val="24"/>
        </w:rPr>
        <w:t>fee based income</w:t>
      </w:r>
      <w:r w:rsidRPr="00FC0A61">
        <w:rPr>
          <w:rFonts w:ascii="Times New Roman" w:hAnsi="Times New Roman" w:cs="Times New Roman"/>
          <w:sz w:val="24"/>
          <w:szCs w:val="24"/>
        </w:rPr>
        <w:t>) (X</w:t>
      </w:r>
      <w:r w:rsidRPr="00FC0A61">
        <w:rPr>
          <w:rFonts w:ascii="Times New Roman" w:hAnsi="Times New Roman" w:cs="Times New Roman"/>
          <w:sz w:val="16"/>
          <w:szCs w:val="24"/>
        </w:rPr>
        <w:t>2</w:t>
      </w:r>
      <w:r w:rsidRPr="00FC0A61">
        <w:rPr>
          <w:rFonts w:ascii="Times New Roman" w:hAnsi="Times New Roman" w:cs="Times New Roman"/>
          <w:sz w:val="24"/>
          <w:szCs w:val="24"/>
        </w:rPr>
        <w:t xml:space="preserve">) berpengaruh positif signifikan terhadap </w:t>
      </w:r>
      <w:r w:rsidRPr="00FC0A61">
        <w:rPr>
          <w:rFonts w:ascii="Times New Roman" w:hAnsi="Times New Roman" w:cs="Times New Roman"/>
          <w:i/>
          <w:sz w:val="24"/>
          <w:szCs w:val="24"/>
        </w:rPr>
        <w:t xml:space="preserve">Return on Assets </w:t>
      </w:r>
      <w:r w:rsidRPr="00FC0A61">
        <w:rPr>
          <w:rFonts w:ascii="Times New Roman" w:hAnsi="Times New Roman" w:cs="Times New Roman"/>
          <w:sz w:val="24"/>
          <w:szCs w:val="24"/>
        </w:rPr>
        <w:t>(ROA) (Y). Pendapatan bunga kredit (X</w:t>
      </w:r>
      <w:r w:rsidRPr="00FC0A61">
        <w:rPr>
          <w:rFonts w:ascii="Times New Roman" w:hAnsi="Times New Roman" w:cs="Times New Roman"/>
          <w:sz w:val="16"/>
          <w:szCs w:val="24"/>
        </w:rPr>
        <w:t>1</w:t>
      </w:r>
      <w:r w:rsidRPr="00FC0A61">
        <w:rPr>
          <w:rFonts w:ascii="Times New Roman" w:hAnsi="Times New Roman" w:cs="Times New Roman"/>
          <w:sz w:val="24"/>
          <w:szCs w:val="24"/>
        </w:rPr>
        <w:t>) dan pendapatan non bunga (</w:t>
      </w:r>
      <w:r w:rsidRPr="00FC0A61">
        <w:rPr>
          <w:rFonts w:ascii="Times New Roman" w:hAnsi="Times New Roman" w:cs="Times New Roman"/>
          <w:i/>
          <w:sz w:val="24"/>
          <w:szCs w:val="24"/>
        </w:rPr>
        <w:t>fee based income</w:t>
      </w:r>
      <w:r w:rsidRPr="00FC0A61">
        <w:rPr>
          <w:rFonts w:ascii="Times New Roman" w:hAnsi="Times New Roman" w:cs="Times New Roman"/>
          <w:sz w:val="24"/>
          <w:szCs w:val="24"/>
        </w:rPr>
        <w:t>) (X</w:t>
      </w:r>
      <w:r w:rsidRPr="00FC0A61">
        <w:rPr>
          <w:rFonts w:ascii="Times New Roman" w:hAnsi="Times New Roman" w:cs="Times New Roman"/>
          <w:sz w:val="16"/>
          <w:szCs w:val="24"/>
        </w:rPr>
        <w:t>2</w:t>
      </w:r>
      <w:r w:rsidRPr="00FC0A61">
        <w:rPr>
          <w:rFonts w:ascii="Times New Roman" w:hAnsi="Times New Roman" w:cs="Times New Roman"/>
          <w:sz w:val="24"/>
          <w:szCs w:val="24"/>
        </w:rPr>
        <w:t xml:space="preserve">) mempengaruhi varibel dependen </w:t>
      </w:r>
      <w:r w:rsidRPr="00FC0A61">
        <w:rPr>
          <w:rFonts w:ascii="Times New Roman" w:hAnsi="Times New Roman" w:cs="Times New Roman"/>
          <w:i/>
          <w:sz w:val="24"/>
          <w:szCs w:val="24"/>
        </w:rPr>
        <w:t xml:space="preserve">Return on Assets </w:t>
      </w:r>
      <w:r w:rsidRPr="00FC0A61">
        <w:rPr>
          <w:rFonts w:ascii="Times New Roman" w:hAnsi="Times New Roman" w:cs="Times New Roman"/>
          <w:sz w:val="24"/>
          <w:szCs w:val="24"/>
        </w:rPr>
        <w:t xml:space="preserve">(ROA) (Y) sebesar </w:t>
      </w:r>
      <w:r w:rsidRPr="00FC0A61">
        <w:rPr>
          <w:rFonts w:ascii="Times New Roman" w:hAnsi="Times New Roman" w:cs="Times New Roman"/>
          <w:color w:val="000000"/>
          <w:sz w:val="24"/>
          <w:szCs w:val="24"/>
        </w:rPr>
        <w:t>65,8</w:t>
      </w:r>
      <w:r w:rsidRPr="00FC0A61">
        <w:rPr>
          <w:rFonts w:ascii="Times New Roman" w:hAnsi="Times New Roman" w:cs="Times New Roman"/>
          <w:sz w:val="24"/>
          <w:szCs w:val="24"/>
        </w:rPr>
        <w:t xml:space="preserve">% dan sisanya sebesar 34,2% dipengaruhi oleh faktor-faktor lain seperti </w:t>
      </w:r>
      <w:r w:rsidRPr="00FC0A61">
        <w:rPr>
          <w:rFonts w:ascii="Times New Roman" w:hAnsi="Times New Roman"/>
          <w:i/>
          <w:sz w:val="24"/>
          <w:szCs w:val="24"/>
        </w:rPr>
        <w:t xml:space="preserve">Non Performing Loan </w:t>
      </w:r>
      <w:r w:rsidRPr="00FC0A61">
        <w:rPr>
          <w:rFonts w:ascii="Times New Roman" w:hAnsi="Times New Roman"/>
          <w:sz w:val="24"/>
          <w:szCs w:val="24"/>
        </w:rPr>
        <w:t>(NPL)</w:t>
      </w:r>
      <w:r w:rsidRPr="00FC0A61">
        <w:rPr>
          <w:rFonts w:ascii="Times New Roman" w:hAnsi="Times New Roman"/>
          <w:sz w:val="24"/>
          <w:szCs w:val="24"/>
          <w:lang w:val="id-ID"/>
        </w:rPr>
        <w:t xml:space="preserve">, </w:t>
      </w:r>
      <w:r w:rsidRPr="00FC0A61">
        <w:rPr>
          <w:rFonts w:ascii="Times New Roman" w:hAnsi="Times New Roman"/>
          <w:i/>
          <w:sz w:val="24"/>
          <w:szCs w:val="24"/>
        </w:rPr>
        <w:t>negatif spread</w:t>
      </w:r>
      <w:r w:rsidRPr="00FC0A61">
        <w:rPr>
          <w:rFonts w:ascii="Times New Roman" w:hAnsi="Times New Roman"/>
          <w:sz w:val="24"/>
          <w:szCs w:val="24"/>
          <w:lang w:val="id-ID"/>
        </w:rPr>
        <w:t xml:space="preserve"> dan lain sebagainya.</w:t>
      </w:r>
    </w:p>
    <w:p w:rsidR="004A1D0C" w:rsidRDefault="004A1D0C" w:rsidP="004A1D0C">
      <w:pPr>
        <w:pStyle w:val="ListParagraph"/>
        <w:numPr>
          <w:ilvl w:val="1"/>
          <w:numId w:val="1"/>
        </w:numPr>
        <w:spacing w:after="0" w:line="480" w:lineRule="auto"/>
        <w:ind w:left="720" w:hanging="720"/>
        <w:jc w:val="both"/>
        <w:rPr>
          <w:rFonts w:ascii="Times New Roman" w:hAnsi="Times New Roman" w:cs="Times New Roman"/>
          <w:b/>
          <w:sz w:val="24"/>
          <w:szCs w:val="24"/>
        </w:rPr>
      </w:pPr>
      <w:r w:rsidRPr="00C14D03">
        <w:rPr>
          <w:rFonts w:ascii="Times New Roman" w:hAnsi="Times New Roman" w:cs="Times New Roman"/>
          <w:b/>
          <w:sz w:val="24"/>
          <w:szCs w:val="24"/>
        </w:rPr>
        <w:lastRenderedPageBreak/>
        <w:t>Saran</w:t>
      </w:r>
    </w:p>
    <w:p w:rsidR="004A1D0C" w:rsidRDefault="004A1D0C" w:rsidP="004A1D0C">
      <w:pPr>
        <w:pStyle w:val="ListParagraph"/>
        <w:spacing w:after="0" w:line="480" w:lineRule="auto"/>
        <w:ind w:left="0" w:firstLine="720"/>
        <w:jc w:val="both"/>
        <w:rPr>
          <w:rFonts w:ascii="Times New Roman" w:hAnsi="Times New Roman" w:cs="Times New Roman"/>
          <w:sz w:val="24"/>
          <w:szCs w:val="24"/>
        </w:rPr>
      </w:pPr>
      <w:r w:rsidRPr="00C14D03">
        <w:rPr>
          <w:rFonts w:ascii="Times New Roman" w:hAnsi="Times New Roman" w:cs="Times New Roman"/>
          <w:sz w:val="24"/>
          <w:szCs w:val="24"/>
        </w:rPr>
        <w:t>Berdasarkan kesimpulan</w:t>
      </w:r>
      <w:r>
        <w:rPr>
          <w:rFonts w:ascii="Times New Roman" w:hAnsi="Times New Roman" w:cs="Times New Roman"/>
          <w:sz w:val="24"/>
          <w:szCs w:val="24"/>
        </w:rPr>
        <w:t xml:space="preserve"> maka penulis dapat mengemukakan saran sebagai berikut :</w:t>
      </w:r>
    </w:p>
    <w:p w:rsidR="004A1D0C" w:rsidRDefault="004A1D0C" w:rsidP="004A1D0C">
      <w:pPr>
        <w:pStyle w:val="Default"/>
        <w:numPr>
          <w:ilvl w:val="0"/>
          <w:numId w:val="2"/>
        </w:numPr>
        <w:spacing w:line="480" w:lineRule="auto"/>
        <w:ind w:left="360"/>
        <w:jc w:val="both"/>
      </w:pPr>
      <w:r w:rsidRPr="00822DE5">
        <w:rPr>
          <w:i/>
        </w:rPr>
        <w:t xml:space="preserve">Return on Assets </w:t>
      </w:r>
      <w:r w:rsidRPr="00822DE5">
        <w:t xml:space="preserve">(ROA) pada PT. Bank bjb, Tbk. Periode 2009-2013 yaitu sebesar </w:t>
      </w:r>
      <w:r w:rsidRPr="007060F9">
        <w:t>3,13%</w:t>
      </w:r>
      <w:r>
        <w:t xml:space="preserve"> </w:t>
      </w:r>
      <w:r w:rsidRPr="00822DE5">
        <w:t xml:space="preserve">yang berarti berada pada kondisi yang </w:t>
      </w:r>
      <w:r w:rsidRPr="0044641E">
        <w:t>baik</w:t>
      </w:r>
      <w:r>
        <w:t xml:space="preserve"> atau sehat. Agar </w:t>
      </w:r>
      <w:r w:rsidRPr="00822DE5">
        <w:t>PT. Bank bjb, Tbk.</w:t>
      </w:r>
      <w:r>
        <w:t xml:space="preserve"> mampu mempertahanan kondisi tersebut bahkan mampu meningkatkan lagi.</w:t>
      </w:r>
    </w:p>
    <w:p w:rsidR="004A1D0C" w:rsidRDefault="004A1D0C" w:rsidP="004A1D0C">
      <w:pPr>
        <w:pStyle w:val="Default"/>
        <w:numPr>
          <w:ilvl w:val="0"/>
          <w:numId w:val="2"/>
        </w:numPr>
        <w:spacing w:line="480" w:lineRule="auto"/>
        <w:ind w:left="360"/>
        <w:jc w:val="both"/>
      </w:pPr>
      <w:r w:rsidRPr="00822DE5">
        <w:t xml:space="preserve">Pendapatan non bunga </w:t>
      </w:r>
      <w:r w:rsidRPr="00822DE5">
        <w:rPr>
          <w:i/>
        </w:rPr>
        <w:t>(fee based income</w:t>
      </w:r>
      <w:r>
        <w:t xml:space="preserve">) mepunyai pengaruh yang rendah </w:t>
      </w:r>
      <w:r w:rsidRPr="00822DE5">
        <w:t>terhadap</w:t>
      </w:r>
      <w:r w:rsidRPr="00822DE5">
        <w:rPr>
          <w:i/>
        </w:rPr>
        <w:t xml:space="preserve"> Return on Assets </w:t>
      </w:r>
      <w:r w:rsidRPr="00822DE5">
        <w:t xml:space="preserve">(ROA) PT. Bank bjb, Tbk. Periode 2009-2013. </w:t>
      </w:r>
      <w:r>
        <w:t xml:space="preserve">Agar </w:t>
      </w:r>
      <w:r w:rsidRPr="00822DE5">
        <w:t>PT. Bank bjb, Tbk.</w:t>
      </w:r>
      <w:r>
        <w:t xml:space="preserve"> mampu meningkatkan </w:t>
      </w:r>
      <w:r w:rsidRPr="00822DE5">
        <w:t xml:space="preserve">pendapatan non bunga </w:t>
      </w:r>
      <w:r w:rsidRPr="00822DE5">
        <w:rPr>
          <w:i/>
          <w:iCs/>
        </w:rPr>
        <w:t>(fee based income</w:t>
      </w:r>
      <w:r w:rsidRPr="00822DE5">
        <w:rPr>
          <w:iCs/>
          <w:sz w:val="23"/>
          <w:szCs w:val="23"/>
        </w:rPr>
        <w:t>)</w:t>
      </w:r>
      <w:r w:rsidRPr="00822DE5">
        <w:rPr>
          <w:iCs/>
        </w:rPr>
        <w:t xml:space="preserve"> </w:t>
      </w:r>
      <w:r>
        <w:rPr>
          <w:iCs/>
        </w:rPr>
        <w:t xml:space="preserve">yaitu </w:t>
      </w:r>
      <w:r w:rsidRPr="00822DE5">
        <w:t xml:space="preserve">dengan menambah jenis </w:t>
      </w:r>
      <w:r>
        <w:t>produk, memperluas dan meningkatkan layanan</w:t>
      </w:r>
      <w:r w:rsidRPr="00822DE5">
        <w:t>.</w:t>
      </w:r>
    </w:p>
    <w:p w:rsidR="004A1D0C" w:rsidRPr="00822DE5" w:rsidRDefault="004A1D0C" w:rsidP="004A1D0C">
      <w:pPr>
        <w:pStyle w:val="Default"/>
        <w:numPr>
          <w:ilvl w:val="0"/>
          <w:numId w:val="2"/>
        </w:numPr>
        <w:spacing w:line="480" w:lineRule="auto"/>
        <w:ind w:left="360"/>
        <w:jc w:val="both"/>
      </w:pPr>
      <w:r w:rsidRPr="00822DE5">
        <w:t xml:space="preserve">Faktor lain yang berpengaruh terhadap </w:t>
      </w:r>
      <w:r w:rsidRPr="00822DE5">
        <w:rPr>
          <w:i/>
        </w:rPr>
        <w:t xml:space="preserve">Return on Assets </w:t>
      </w:r>
      <w:r w:rsidRPr="00822DE5">
        <w:t xml:space="preserve">(ROA) sebesar </w:t>
      </w:r>
      <w:r>
        <w:t>34,2%</w:t>
      </w:r>
      <w:r w:rsidRPr="00822DE5">
        <w:t xml:space="preserve">. </w:t>
      </w:r>
      <w:r>
        <w:t>Oleh sebab itu untuk peneliti selanjutnya</w:t>
      </w:r>
      <w:r w:rsidRPr="00822DE5">
        <w:t xml:space="preserve"> </w:t>
      </w:r>
      <w:r>
        <w:t>agar dapat melakukan</w:t>
      </w:r>
      <w:r w:rsidRPr="00822DE5">
        <w:t xml:space="preserve"> penelitian lebih lanjut tentang faktor lain yang berpengaruh terhadap </w:t>
      </w:r>
      <w:r w:rsidRPr="00822DE5">
        <w:rPr>
          <w:i/>
        </w:rPr>
        <w:t xml:space="preserve">Return on Assets </w:t>
      </w:r>
      <w:r w:rsidRPr="00822DE5">
        <w:t xml:space="preserve">(ROA). </w:t>
      </w:r>
    </w:p>
    <w:p w:rsidR="000C7B56" w:rsidRDefault="000C7B56">
      <w:bookmarkStart w:id="0" w:name="_GoBack"/>
      <w:bookmarkEnd w:id="0"/>
    </w:p>
    <w:sectPr w:rsidR="000C7B56" w:rsidSect="00FC0A61">
      <w:headerReference w:type="even" r:id="rId6"/>
      <w:headerReference w:type="default" r:id="rId7"/>
      <w:footerReference w:type="even" r:id="rId8"/>
      <w:footerReference w:type="default" r:id="rId9"/>
      <w:headerReference w:type="first" r:id="rId10"/>
      <w:footerReference w:type="first" r:id="rId11"/>
      <w:pgSz w:w="12240" w:h="15840"/>
      <w:pgMar w:top="1701" w:right="1701" w:bottom="1701" w:left="2268" w:header="720" w:footer="720" w:gutter="0"/>
      <w:pgNumType w:start="112"/>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916" w:rsidRDefault="004A1D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32121"/>
      <w:docPartObj>
        <w:docPartGallery w:val="Page Numbers (Bottom of Page)"/>
        <w:docPartUnique/>
      </w:docPartObj>
    </w:sdtPr>
    <w:sdtEndPr/>
    <w:sdtContent>
      <w:p w:rsidR="005B22C7" w:rsidRDefault="004A1D0C">
        <w:pPr>
          <w:pStyle w:val="Footer"/>
          <w:jc w:val="right"/>
        </w:pPr>
        <w:r>
          <w:fldChar w:fldCharType="begin"/>
        </w:r>
        <w:r>
          <w:instrText xml:space="preserve"> PAGE   \* MERGEFORMAT </w:instrText>
        </w:r>
        <w:r>
          <w:fldChar w:fldCharType="separate"/>
        </w:r>
        <w:r>
          <w:rPr>
            <w:noProof/>
          </w:rPr>
          <w:t>112</w:t>
        </w:r>
        <w:r>
          <w:rPr>
            <w:noProof/>
          </w:rPr>
          <w:fldChar w:fldCharType="end"/>
        </w:r>
      </w:p>
    </w:sdtContent>
  </w:sdt>
  <w:p w:rsidR="005B22C7" w:rsidRDefault="004A1D0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916" w:rsidRDefault="004A1D0C">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916" w:rsidRDefault="004A1D0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70362" o:spid="_x0000_s2050" type="#_x0000_t75" style="position:absolute;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916" w:rsidRDefault="004A1D0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70363" o:spid="_x0000_s2051" type="#_x0000_t75" style="position:absolute;margin-left:0;margin-top:0;width:413.15pt;height:413.15pt;z-index:-251655168;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916" w:rsidRDefault="004A1D0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70361" o:spid="_x0000_s2049" type="#_x0000_t75" style="position:absolute;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44653"/>
    <w:multiLevelType w:val="multilevel"/>
    <w:tmpl w:val="67A6AF54"/>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CC56ABA"/>
    <w:multiLevelType w:val="multilevel"/>
    <w:tmpl w:val="73C4969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3C320B0"/>
    <w:multiLevelType w:val="hybridMultilevel"/>
    <w:tmpl w:val="696E4302"/>
    <w:lvl w:ilvl="0" w:tplc="6E1ED502">
      <w:start w:val="1"/>
      <w:numFmt w:val="decimal"/>
      <w:lvlText w:val="%1."/>
      <w:lvlJc w:val="left"/>
      <w:pPr>
        <w:ind w:left="324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9E68A6"/>
    <w:multiLevelType w:val="hybridMultilevel"/>
    <w:tmpl w:val="656C6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hdrShapeDefaults>
    <o:shapedefaults v:ext="edit" spidmax="2052"/>
    <o:shapelayout v:ext="edit">
      <o:idmap v:ext="edit" data="2"/>
    </o:shapelayout>
  </w:hdrShapeDefault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D0C"/>
    <w:rsid w:val="000C7B56"/>
    <w:rsid w:val="004A1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D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1D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D0C"/>
  </w:style>
  <w:style w:type="paragraph" w:styleId="Footer">
    <w:name w:val="footer"/>
    <w:basedOn w:val="Normal"/>
    <w:link w:val="FooterChar"/>
    <w:uiPriority w:val="99"/>
    <w:unhideWhenUsed/>
    <w:rsid w:val="004A1D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1D0C"/>
  </w:style>
  <w:style w:type="paragraph" w:styleId="ListParagraph">
    <w:name w:val="List Paragraph"/>
    <w:basedOn w:val="Normal"/>
    <w:uiPriority w:val="34"/>
    <w:qFormat/>
    <w:rsid w:val="004A1D0C"/>
    <w:pPr>
      <w:ind w:left="720"/>
      <w:contextualSpacing/>
    </w:pPr>
  </w:style>
  <w:style w:type="paragraph" w:customStyle="1" w:styleId="Default">
    <w:name w:val="Default"/>
    <w:rsid w:val="004A1D0C"/>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D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1D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D0C"/>
  </w:style>
  <w:style w:type="paragraph" w:styleId="Footer">
    <w:name w:val="footer"/>
    <w:basedOn w:val="Normal"/>
    <w:link w:val="FooterChar"/>
    <w:uiPriority w:val="99"/>
    <w:unhideWhenUsed/>
    <w:rsid w:val="004A1D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1D0C"/>
  </w:style>
  <w:style w:type="paragraph" w:styleId="ListParagraph">
    <w:name w:val="List Paragraph"/>
    <w:basedOn w:val="Normal"/>
    <w:uiPriority w:val="34"/>
    <w:qFormat/>
    <w:rsid w:val="004A1D0C"/>
    <w:pPr>
      <w:ind w:left="720"/>
      <w:contextualSpacing/>
    </w:pPr>
  </w:style>
  <w:style w:type="paragraph" w:customStyle="1" w:styleId="Default">
    <w:name w:val="Default"/>
    <w:rsid w:val="004A1D0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572</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1</cp:revision>
  <cp:lastPrinted>2017-07-12T03:49:00Z</cp:lastPrinted>
  <dcterms:created xsi:type="dcterms:W3CDTF">2017-07-12T03:49:00Z</dcterms:created>
  <dcterms:modified xsi:type="dcterms:W3CDTF">2017-07-12T03:50:00Z</dcterms:modified>
</cp:coreProperties>
</file>